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951" w:rsidRDefault="00C87951" w:rsidP="00C8795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Type: E</w:t>
      </w:r>
    </w:p>
    <w:p w:rsidR="00C87951" w:rsidRPr="00C87951" w:rsidRDefault="00C87951" w:rsidP="00C8795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Title: </w:t>
      </w:r>
      <w:r>
        <w:rPr>
          <w:rFonts w:ascii="Courier New" w:hAnsi="Courier New" w:cs="Courier New"/>
          <w:b/>
        </w:rPr>
        <w:t>Rec Vehicles Homogeneity 1</w:t>
      </w:r>
    </w:p>
    <w:p w:rsidR="00C87951" w:rsidRDefault="00945CC4" w:rsidP="00C87951">
      <w:pPr>
        <w:pStyle w:val="NormalText"/>
        <w:numPr>
          <w:ilvl w:val="0"/>
          <w:numId w:val="1"/>
        </w:numPr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A m</w:t>
      </w:r>
      <w:r>
        <w:rPr>
          <w:rFonts w:ascii="Palatino Linotype" w:hAnsi="Palatino Linotype" w:cs="Palatino Linotype"/>
          <w:sz w:val="20"/>
          <w:szCs w:val="20"/>
        </w:rPr>
        <w:t xml:space="preserve">anufacturing plant for recreational vehicles receives shipments from three different parts vendors. There has been a defect issue with some of the electrical wiring in the recreational vehicles manufactured at the plant. The plant manager wonders if </w:t>
      </w:r>
      <w:proofErr w:type="gramStart"/>
      <w:r>
        <w:rPr>
          <w:rFonts w:ascii="Palatino Linotype" w:hAnsi="Palatino Linotype" w:cs="Palatino Linotype"/>
          <w:sz w:val="20"/>
          <w:szCs w:val="20"/>
        </w:rPr>
        <w:t>all of</w:t>
      </w:r>
      <w:proofErr w:type="gramEnd"/>
      <w:r>
        <w:rPr>
          <w:rFonts w:ascii="Palatino Linotype" w:hAnsi="Palatino Linotype" w:cs="Palatino Linotype"/>
          <w:sz w:val="20"/>
          <w:szCs w:val="20"/>
        </w:rPr>
        <w:t xml:space="preserve"> the vendors might be contributing equally to the defect issue. The plant manager reviews a sample of quality assurance inspections from the last six months. The data are shown in the table below.</w:t>
      </w:r>
      <w:r w:rsidR="00C87951">
        <w:rPr>
          <w:rFonts w:ascii="Palatino Linotype" w:hAnsi="Palatino Linotype" w:cs="Palatino Linotype"/>
          <w:sz w:val="20"/>
          <w:szCs w:val="20"/>
        </w:rPr>
        <w:t xml:space="preserve"> </w:t>
      </w:r>
      <w:bookmarkStart w:id="0" w:name="_GoBack"/>
      <w:bookmarkEnd w:id="0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565"/>
        <w:gridCol w:w="2568"/>
        <w:gridCol w:w="2562"/>
      </w:tblGrid>
      <w:tr w:rsidR="00945CC4" w:rsidRPr="00945CC4" w:rsidTr="00945CC4">
        <w:tc>
          <w:tcPr>
            <w:tcW w:w="2754" w:type="dxa"/>
            <w:shd w:val="clear" w:color="auto" w:fill="auto"/>
          </w:tcPr>
          <w:p w:rsidR="00C87951" w:rsidRPr="00945CC4" w:rsidRDefault="00C87951" w:rsidP="00C87951">
            <w:pPr>
              <w:pStyle w:val="NormalText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C87951" w:rsidRPr="00945CC4" w:rsidRDefault="00C87951" w:rsidP="00945CC4">
            <w:pPr>
              <w:pStyle w:val="NormalText"/>
              <w:jc w:val="center"/>
              <w:rPr>
                <w:sz w:val="20"/>
                <w:szCs w:val="20"/>
              </w:rPr>
            </w:pPr>
            <w:r w:rsidRPr="00945CC4">
              <w:rPr>
                <w:sz w:val="20"/>
                <w:szCs w:val="20"/>
              </w:rPr>
              <w:t>K&amp;N</w:t>
            </w:r>
          </w:p>
        </w:tc>
        <w:tc>
          <w:tcPr>
            <w:tcW w:w="2754" w:type="dxa"/>
            <w:shd w:val="clear" w:color="auto" w:fill="auto"/>
          </w:tcPr>
          <w:p w:rsidR="00C87951" w:rsidRPr="00945CC4" w:rsidRDefault="00C87951" w:rsidP="00945CC4">
            <w:pPr>
              <w:pStyle w:val="NormalText"/>
              <w:jc w:val="center"/>
              <w:rPr>
                <w:sz w:val="20"/>
                <w:szCs w:val="20"/>
              </w:rPr>
            </w:pPr>
            <w:proofErr w:type="spellStart"/>
            <w:r w:rsidRPr="00945CC4">
              <w:rPr>
                <w:sz w:val="20"/>
                <w:szCs w:val="20"/>
              </w:rPr>
              <w:t>Cycra</w:t>
            </w:r>
            <w:proofErr w:type="spellEnd"/>
          </w:p>
        </w:tc>
        <w:tc>
          <w:tcPr>
            <w:tcW w:w="2754" w:type="dxa"/>
            <w:shd w:val="clear" w:color="auto" w:fill="auto"/>
          </w:tcPr>
          <w:p w:rsidR="00C87951" w:rsidRPr="00945CC4" w:rsidRDefault="00C87951" w:rsidP="00945CC4">
            <w:pPr>
              <w:pStyle w:val="NormalText"/>
              <w:jc w:val="center"/>
              <w:rPr>
                <w:sz w:val="20"/>
                <w:szCs w:val="20"/>
              </w:rPr>
            </w:pPr>
            <w:r w:rsidRPr="00945CC4">
              <w:rPr>
                <w:sz w:val="20"/>
                <w:szCs w:val="20"/>
              </w:rPr>
              <w:t>torc1</w:t>
            </w:r>
          </w:p>
        </w:tc>
      </w:tr>
      <w:tr w:rsidR="00945CC4" w:rsidRPr="00945CC4" w:rsidTr="00945CC4">
        <w:tc>
          <w:tcPr>
            <w:tcW w:w="2754" w:type="dxa"/>
            <w:shd w:val="clear" w:color="auto" w:fill="auto"/>
          </w:tcPr>
          <w:p w:rsidR="00C87951" w:rsidRPr="00945CC4" w:rsidRDefault="00C87951" w:rsidP="00945CC4">
            <w:pPr>
              <w:pStyle w:val="NormalText"/>
              <w:jc w:val="center"/>
              <w:rPr>
                <w:sz w:val="20"/>
                <w:szCs w:val="20"/>
              </w:rPr>
            </w:pPr>
            <w:r w:rsidRPr="00945CC4">
              <w:rPr>
                <w:sz w:val="20"/>
                <w:szCs w:val="20"/>
              </w:rPr>
              <w:t>Rejected</w:t>
            </w:r>
          </w:p>
        </w:tc>
        <w:tc>
          <w:tcPr>
            <w:tcW w:w="2754" w:type="dxa"/>
            <w:shd w:val="clear" w:color="auto" w:fill="auto"/>
          </w:tcPr>
          <w:p w:rsidR="00C87951" w:rsidRPr="00945CC4" w:rsidRDefault="00C87951" w:rsidP="00C87951">
            <w:pPr>
              <w:pStyle w:val="NormalText"/>
              <w:rPr>
                <w:sz w:val="20"/>
                <w:szCs w:val="20"/>
              </w:rPr>
            </w:pPr>
            <w:r w:rsidRPr="00945CC4">
              <w:rPr>
                <w:sz w:val="20"/>
                <w:szCs w:val="20"/>
              </w:rPr>
              <w:t>53</w:t>
            </w:r>
          </w:p>
        </w:tc>
        <w:tc>
          <w:tcPr>
            <w:tcW w:w="2754" w:type="dxa"/>
            <w:shd w:val="clear" w:color="auto" w:fill="auto"/>
          </w:tcPr>
          <w:p w:rsidR="00C87951" w:rsidRPr="00945CC4" w:rsidRDefault="00C87951" w:rsidP="00C87951">
            <w:pPr>
              <w:pStyle w:val="NormalText"/>
              <w:rPr>
                <w:sz w:val="20"/>
                <w:szCs w:val="20"/>
              </w:rPr>
            </w:pPr>
            <w:r w:rsidRPr="00945CC4">
              <w:rPr>
                <w:sz w:val="20"/>
                <w:szCs w:val="20"/>
              </w:rPr>
              <w:t>48</w:t>
            </w:r>
          </w:p>
        </w:tc>
        <w:tc>
          <w:tcPr>
            <w:tcW w:w="2754" w:type="dxa"/>
            <w:shd w:val="clear" w:color="auto" w:fill="auto"/>
          </w:tcPr>
          <w:p w:rsidR="00C87951" w:rsidRPr="00945CC4" w:rsidRDefault="00C87951" w:rsidP="00C87951">
            <w:pPr>
              <w:pStyle w:val="NormalText"/>
              <w:rPr>
                <w:sz w:val="20"/>
                <w:szCs w:val="20"/>
              </w:rPr>
            </w:pPr>
            <w:r w:rsidRPr="00945CC4">
              <w:rPr>
                <w:sz w:val="20"/>
                <w:szCs w:val="20"/>
              </w:rPr>
              <w:t>70</w:t>
            </w:r>
          </w:p>
        </w:tc>
      </w:tr>
      <w:tr w:rsidR="00945CC4" w:rsidRPr="00945CC4" w:rsidTr="00945CC4">
        <w:tc>
          <w:tcPr>
            <w:tcW w:w="2754" w:type="dxa"/>
            <w:shd w:val="clear" w:color="auto" w:fill="auto"/>
          </w:tcPr>
          <w:p w:rsidR="00C87951" w:rsidRPr="00945CC4" w:rsidRDefault="00C87951" w:rsidP="00945CC4">
            <w:pPr>
              <w:pStyle w:val="NormalText"/>
              <w:jc w:val="center"/>
              <w:rPr>
                <w:sz w:val="20"/>
                <w:szCs w:val="20"/>
              </w:rPr>
            </w:pPr>
            <w:r w:rsidRPr="00945CC4">
              <w:rPr>
                <w:sz w:val="20"/>
                <w:szCs w:val="20"/>
              </w:rPr>
              <w:t>Perfect</w:t>
            </w:r>
          </w:p>
        </w:tc>
        <w:tc>
          <w:tcPr>
            <w:tcW w:w="2754" w:type="dxa"/>
            <w:shd w:val="clear" w:color="auto" w:fill="auto"/>
          </w:tcPr>
          <w:p w:rsidR="00C87951" w:rsidRPr="00945CC4" w:rsidRDefault="00C87951" w:rsidP="00C87951">
            <w:pPr>
              <w:pStyle w:val="NormalText"/>
              <w:rPr>
                <w:sz w:val="20"/>
                <w:szCs w:val="20"/>
              </w:rPr>
            </w:pPr>
            <w:r w:rsidRPr="00945CC4">
              <w:rPr>
                <w:sz w:val="20"/>
                <w:szCs w:val="20"/>
              </w:rPr>
              <w:t>93</w:t>
            </w:r>
          </w:p>
        </w:tc>
        <w:tc>
          <w:tcPr>
            <w:tcW w:w="2754" w:type="dxa"/>
            <w:shd w:val="clear" w:color="auto" w:fill="auto"/>
          </w:tcPr>
          <w:p w:rsidR="00C87951" w:rsidRPr="00945CC4" w:rsidRDefault="00C87951" w:rsidP="00C87951">
            <w:pPr>
              <w:pStyle w:val="NormalText"/>
              <w:rPr>
                <w:sz w:val="20"/>
                <w:szCs w:val="20"/>
              </w:rPr>
            </w:pPr>
            <w:r w:rsidRPr="00945CC4">
              <w:rPr>
                <w:sz w:val="20"/>
                <w:szCs w:val="20"/>
              </w:rPr>
              <w:t>71</w:t>
            </w:r>
          </w:p>
        </w:tc>
        <w:tc>
          <w:tcPr>
            <w:tcW w:w="2754" w:type="dxa"/>
            <w:shd w:val="clear" w:color="auto" w:fill="auto"/>
          </w:tcPr>
          <w:p w:rsidR="00C87951" w:rsidRPr="00945CC4" w:rsidRDefault="00C87951" w:rsidP="00C87951">
            <w:pPr>
              <w:pStyle w:val="NormalText"/>
              <w:rPr>
                <w:sz w:val="20"/>
                <w:szCs w:val="20"/>
              </w:rPr>
            </w:pPr>
            <w:r w:rsidRPr="00945CC4">
              <w:rPr>
                <w:sz w:val="20"/>
                <w:szCs w:val="20"/>
              </w:rPr>
              <w:t>88</w:t>
            </w:r>
          </w:p>
        </w:tc>
      </w:tr>
      <w:tr w:rsidR="00945CC4" w:rsidRPr="00945CC4" w:rsidTr="00945CC4">
        <w:tc>
          <w:tcPr>
            <w:tcW w:w="2754" w:type="dxa"/>
            <w:shd w:val="clear" w:color="auto" w:fill="auto"/>
          </w:tcPr>
          <w:p w:rsidR="00C87951" w:rsidRPr="00945CC4" w:rsidRDefault="00C87951" w:rsidP="00945CC4">
            <w:pPr>
              <w:pStyle w:val="NormalText"/>
              <w:jc w:val="center"/>
              <w:rPr>
                <w:sz w:val="20"/>
                <w:szCs w:val="20"/>
              </w:rPr>
            </w:pPr>
            <w:r w:rsidRPr="00945CC4">
              <w:rPr>
                <w:sz w:val="20"/>
                <w:szCs w:val="20"/>
              </w:rPr>
              <w:t>Not Perfect but acceptable</w:t>
            </w:r>
          </w:p>
        </w:tc>
        <w:tc>
          <w:tcPr>
            <w:tcW w:w="2754" w:type="dxa"/>
            <w:shd w:val="clear" w:color="auto" w:fill="auto"/>
          </w:tcPr>
          <w:p w:rsidR="00C87951" w:rsidRPr="00945CC4" w:rsidRDefault="00C87951" w:rsidP="00C87951">
            <w:pPr>
              <w:pStyle w:val="NormalText"/>
              <w:rPr>
                <w:sz w:val="20"/>
                <w:szCs w:val="20"/>
              </w:rPr>
            </w:pPr>
            <w:r w:rsidRPr="00945CC4">
              <w:rPr>
                <w:sz w:val="20"/>
                <w:szCs w:val="20"/>
              </w:rPr>
              <w:t>22</w:t>
            </w:r>
          </w:p>
        </w:tc>
        <w:tc>
          <w:tcPr>
            <w:tcW w:w="2754" w:type="dxa"/>
            <w:shd w:val="clear" w:color="auto" w:fill="auto"/>
          </w:tcPr>
          <w:p w:rsidR="00C87951" w:rsidRPr="00945CC4" w:rsidRDefault="00C87951" w:rsidP="00C87951">
            <w:pPr>
              <w:pStyle w:val="NormalText"/>
              <w:rPr>
                <w:sz w:val="20"/>
                <w:szCs w:val="20"/>
              </w:rPr>
            </w:pPr>
            <w:r w:rsidRPr="00945CC4">
              <w:rPr>
                <w:sz w:val="20"/>
                <w:szCs w:val="20"/>
              </w:rPr>
              <w:t>31</w:t>
            </w:r>
          </w:p>
        </w:tc>
        <w:tc>
          <w:tcPr>
            <w:tcW w:w="2754" w:type="dxa"/>
            <w:shd w:val="clear" w:color="auto" w:fill="auto"/>
          </w:tcPr>
          <w:p w:rsidR="00C87951" w:rsidRPr="00945CC4" w:rsidRDefault="00C87951" w:rsidP="00C87951">
            <w:pPr>
              <w:pStyle w:val="NormalText"/>
              <w:rPr>
                <w:sz w:val="20"/>
                <w:szCs w:val="20"/>
              </w:rPr>
            </w:pPr>
            <w:r w:rsidRPr="00945CC4">
              <w:rPr>
                <w:sz w:val="20"/>
                <w:szCs w:val="20"/>
              </w:rPr>
              <w:t>22</w:t>
            </w:r>
          </w:p>
        </w:tc>
      </w:tr>
    </w:tbl>
    <w:p w:rsidR="00000000" w:rsidRDefault="00945CC4" w:rsidP="00C87951">
      <w:pPr>
        <w:pStyle w:val="NormalText"/>
        <w:rPr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Test an appropriate hy</w:t>
      </w:r>
      <w:r>
        <w:rPr>
          <w:rFonts w:ascii="Palatino Linotype" w:hAnsi="Palatino Linotype" w:cs="Palatino Linotype"/>
          <w:sz w:val="20"/>
          <w:szCs w:val="20"/>
        </w:rPr>
        <w:t>pothesis to decide if the plant manager is correct. Give statistical evidence to support your conclusion.</w:t>
      </w:r>
    </w:p>
    <w:p w:rsidR="00000000" w:rsidRDefault="00945CC4">
      <w:pPr>
        <w:pStyle w:val="NormalText"/>
        <w:rPr>
          <w:sz w:val="20"/>
          <w:szCs w:val="20"/>
        </w:rPr>
      </w:pPr>
    </w:p>
    <w:p w:rsidR="00000000" w:rsidRDefault="00945CC4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br w:type="page"/>
      </w:r>
    </w:p>
    <w:p w:rsidR="00000000" w:rsidRDefault="00945CC4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1) We want to know whether if </w:t>
      </w:r>
      <w:proofErr w:type="gramStart"/>
      <w:r>
        <w:rPr>
          <w:rFonts w:ascii="Palatino Linotype" w:hAnsi="Palatino Linotype" w:cs="Palatino Linotype"/>
          <w:sz w:val="20"/>
          <w:szCs w:val="20"/>
        </w:rPr>
        <w:t>all of</w:t>
      </w:r>
      <w:proofErr w:type="gramEnd"/>
      <w:r>
        <w:rPr>
          <w:rFonts w:ascii="Palatino Linotype" w:hAnsi="Palatino Linotype" w:cs="Palatino Linotype"/>
          <w:sz w:val="20"/>
          <w:szCs w:val="20"/>
        </w:rPr>
        <w:t xml:space="preserve"> the vendors might be contributing equally to the defect issue.</w:t>
      </w:r>
    </w:p>
    <w:p w:rsidR="00000000" w:rsidRDefault="00945CC4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position w:val="-14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3.5pt;height:15.75pt">
            <v:imagedata r:id="rId5" o:title=""/>
          </v:shape>
        </w:pict>
      </w:r>
      <w:r>
        <w:rPr>
          <w:rFonts w:ascii="Palatino Linotype" w:hAnsi="Palatino Linotype" w:cs="Palatino Linotype"/>
          <w:sz w:val="20"/>
          <w:szCs w:val="20"/>
        </w:rPr>
        <w:t>: The type of defects in vehicles made by the three vendors has the same distribution (are homogeneous).</w:t>
      </w:r>
    </w:p>
    <w:p w:rsidR="00000000" w:rsidRDefault="00945CC4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position w:val="-14"/>
          <w:sz w:val="20"/>
          <w:szCs w:val="20"/>
        </w:rPr>
        <w:pict>
          <v:shape id="_x0000_i1027" type="#_x0000_t75" style="width:15.75pt;height:15.75pt">
            <v:imagedata r:id="rId6" o:title=""/>
          </v:shape>
        </w:pict>
      </w:r>
      <w:r>
        <w:rPr>
          <w:rFonts w:ascii="Palatino Linotype" w:hAnsi="Palatino Linotype" w:cs="Palatino Linotype"/>
          <w:sz w:val="20"/>
          <w:szCs w:val="20"/>
        </w:rPr>
        <w:t>: The type of defects in vehicles made by the three vendors does not have the same distribution (are not homo</w:t>
      </w:r>
      <w:r>
        <w:rPr>
          <w:rFonts w:ascii="Palatino Linotype" w:hAnsi="Palatino Linotype" w:cs="Palatino Linotype"/>
          <w:sz w:val="20"/>
          <w:szCs w:val="20"/>
        </w:rPr>
        <w:t>geneous).</w:t>
      </w:r>
    </w:p>
    <w:p w:rsidR="00000000" w:rsidRDefault="00945CC4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Conditions:</w:t>
      </w:r>
    </w:p>
    <w:p w:rsidR="00000000" w:rsidRDefault="00945CC4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* Counted data: We have the counts from a sample of quality assurance inspections from the last six months.</w:t>
      </w:r>
    </w:p>
    <w:p w:rsidR="00000000" w:rsidRDefault="00945CC4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* Randomization: The data are from a sample of quality assurance inspections from the last six months.</w:t>
      </w:r>
    </w:p>
    <w:p w:rsidR="00000000" w:rsidRDefault="00945CC4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* Expected cell frequen</w:t>
      </w:r>
      <w:r>
        <w:rPr>
          <w:rFonts w:ascii="Palatino Linotype" w:hAnsi="Palatino Linotype" w:cs="Palatino Linotype"/>
          <w:sz w:val="20"/>
          <w:szCs w:val="20"/>
        </w:rPr>
        <w:t>cy: The expected values (shown in parenthesis in the table) are all greater than five.</w:t>
      </w:r>
    </w:p>
    <w:p w:rsidR="00000000" w:rsidRDefault="00945CC4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Under these conditions, the sampling distribution of the test statistic is </w:t>
      </w:r>
      <w:r>
        <w:rPr>
          <w:rFonts w:ascii="Palatino Linotype" w:hAnsi="Palatino Linotype" w:cs="Palatino Linotype"/>
          <w:position w:val="-8"/>
          <w:sz w:val="20"/>
          <w:szCs w:val="20"/>
        </w:rPr>
        <w:pict>
          <v:shape id="_x0000_i1028" type="#_x0000_t75" style="width:11.25pt;height:15.75pt">
            <v:imagedata r:id="rId7" o:title=""/>
          </v:shape>
        </w:pict>
      </w:r>
      <w:r>
        <w:rPr>
          <w:rFonts w:ascii="Palatino Linotype" w:hAnsi="Palatino Linotype" w:cs="Palatino Linotype"/>
          <w:sz w:val="20"/>
          <w:szCs w:val="20"/>
        </w:rPr>
        <w:t xml:space="preserve"> with (3 - </w:t>
      </w:r>
      <w:proofErr w:type="gramStart"/>
      <w:r>
        <w:rPr>
          <w:rFonts w:ascii="Palatino Linotype" w:hAnsi="Palatino Linotype" w:cs="Palatino Linotype"/>
          <w:sz w:val="20"/>
          <w:szCs w:val="20"/>
        </w:rPr>
        <w:t>1)(</w:t>
      </w:r>
      <w:proofErr w:type="gramEnd"/>
      <w:r>
        <w:rPr>
          <w:rFonts w:ascii="Palatino Linotype" w:hAnsi="Palatino Linotype" w:cs="Palatino Linotype"/>
          <w:sz w:val="20"/>
          <w:szCs w:val="20"/>
        </w:rPr>
        <w:t>3 - 1) = 4 degrees of freedom.</w:t>
      </w:r>
    </w:p>
    <w:p w:rsidR="00000000" w:rsidRDefault="00945CC4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We will perfor</w:t>
      </w:r>
      <w:r>
        <w:rPr>
          <w:rFonts w:ascii="Palatino Linotype" w:hAnsi="Palatino Linotype" w:cs="Palatino Linotype"/>
          <w:sz w:val="20"/>
          <w:szCs w:val="20"/>
        </w:rPr>
        <w:t>m a chi-square test of homogeneity.</w:t>
      </w:r>
    </w:p>
    <w:p w:rsidR="00000000" w:rsidRDefault="00945CC4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position w:val="-8"/>
          <w:sz w:val="20"/>
          <w:szCs w:val="20"/>
        </w:rPr>
        <w:pict>
          <v:shape id="_x0000_i1029" type="#_x0000_t75" style="width:11.25pt;height:15.75pt">
            <v:imagedata r:id="rId7" o:title=""/>
          </v:shape>
        </w:pict>
      </w:r>
      <w:r>
        <w:rPr>
          <w:rFonts w:ascii="Palatino Linotype" w:hAnsi="Palatino Linotype" w:cs="Palatino Linotype"/>
          <w:sz w:val="20"/>
          <w:szCs w:val="20"/>
        </w:rPr>
        <w:t xml:space="preserve"> = </w:t>
      </w:r>
      <w:r>
        <w:rPr>
          <w:rFonts w:ascii="Palatino Linotype" w:hAnsi="Palatino Linotype" w:cs="Palatino Linotype"/>
          <w:position w:val="-28"/>
          <w:sz w:val="20"/>
          <w:szCs w:val="20"/>
        </w:rPr>
        <w:pict>
          <v:shape id="_x0000_i1030" type="#_x0000_t75" style="width:69pt;height:31.5pt">
            <v:imagedata r:id="rId8" o:title=""/>
          </v:shape>
        </w:pict>
      </w:r>
      <w:r>
        <w:rPr>
          <w:rFonts w:ascii="Palatino Linotype" w:hAnsi="Palatino Linotype" w:cs="Palatino Linotype"/>
          <w:sz w:val="20"/>
          <w:szCs w:val="20"/>
        </w:rPr>
        <w:t xml:space="preserve"> = </w:t>
      </w:r>
      <w:r>
        <w:rPr>
          <w:rFonts w:ascii="Palatino Linotype" w:hAnsi="Palatino Linotype" w:cs="Palatino Linotype"/>
          <w:position w:val="-28"/>
          <w:sz w:val="20"/>
          <w:szCs w:val="20"/>
        </w:rPr>
        <w:pict>
          <v:shape id="_x0000_i1031" type="#_x0000_t75" style="width:57pt;height:31.5pt">
            <v:imagedata r:id="rId9" o:title=""/>
          </v:shape>
        </w:pict>
      </w:r>
      <w:r>
        <w:rPr>
          <w:rFonts w:ascii="Palatino Linotype" w:hAnsi="Palatino Linotype" w:cs="Palatino Linotype"/>
          <w:sz w:val="20"/>
          <w:szCs w:val="20"/>
        </w:rPr>
        <w:t xml:space="preserve"> + </w:t>
      </w:r>
      <w:r>
        <w:rPr>
          <w:rFonts w:ascii="Palatino Linotype" w:hAnsi="Palatino Linotype" w:cs="Palatino Linotype"/>
          <w:position w:val="-28"/>
          <w:sz w:val="20"/>
          <w:szCs w:val="20"/>
        </w:rPr>
        <w:pict>
          <v:shape id="_x0000_i1032" type="#_x0000_t75" style="width:57pt;height:31.5pt">
            <v:imagedata r:id="rId10" o:title=""/>
          </v:shape>
        </w:pict>
      </w:r>
      <w:r>
        <w:rPr>
          <w:rFonts w:ascii="Palatino Linotype" w:hAnsi="Palatino Linotype" w:cs="Palatino Linotype"/>
          <w:sz w:val="20"/>
          <w:szCs w:val="20"/>
        </w:rPr>
        <w:t xml:space="preserve"> + ... = 7.40</w:t>
      </w:r>
    </w:p>
    <w:p w:rsidR="00000000" w:rsidRDefault="00945CC4">
      <w:pPr>
        <w:pStyle w:val="NormalTex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P = </w:t>
      </w:r>
      <w:proofErr w:type="gramStart"/>
      <w:r>
        <w:rPr>
          <w:rFonts w:ascii="Palatino Linotype" w:hAnsi="Palatino Linotype" w:cs="Palatino Linotype"/>
          <w:sz w:val="20"/>
          <w:szCs w:val="20"/>
        </w:rPr>
        <w:t>P(</w:t>
      </w:r>
      <w:proofErr w:type="gramEnd"/>
      <w:r>
        <w:rPr>
          <w:rFonts w:ascii="Palatino Linotype" w:hAnsi="Palatino Linotype" w:cs="Palatino Linotype"/>
          <w:position w:val="-8"/>
          <w:sz w:val="20"/>
          <w:szCs w:val="20"/>
        </w:rPr>
        <w:pict>
          <v:shape id="_x0000_i1033" type="#_x0000_t75" style="width:11.25pt;height:15.75pt">
            <v:imagedata r:id="rId7" o:title=""/>
          </v:shape>
        </w:pict>
      </w:r>
      <w:r>
        <w:rPr>
          <w:rFonts w:ascii="Palatino Linotype" w:hAnsi="Palatino Linotype" w:cs="Palatino Linotype"/>
          <w:sz w:val="20"/>
          <w:szCs w:val="20"/>
        </w:rPr>
        <w:t xml:space="preserve"> &gt; 7.40) = 0.11</w:t>
      </w:r>
      <w:r>
        <w:rPr>
          <w:rFonts w:ascii="Palatino Linotype" w:hAnsi="Palatino Linotype" w:cs="Palatino Linotype"/>
          <w:sz w:val="20"/>
          <w:szCs w:val="20"/>
        </w:rPr>
        <w:t>61</w:t>
      </w:r>
    </w:p>
    <w:p w:rsidR="00945CC4" w:rsidRDefault="00945CC4">
      <w:pPr>
        <w:pStyle w:val="NormalText"/>
      </w:pPr>
      <w:r>
        <w:rPr>
          <w:rFonts w:ascii="Palatino Linotype" w:hAnsi="Palatino Linotype" w:cs="Palatino Linotype"/>
          <w:sz w:val="20"/>
          <w:szCs w:val="20"/>
        </w:rPr>
        <w:t>The P-value of 0.1161 is rather high, so we fail to reject the null hypothesis. There is little statistical evidence to indicate that the types of defects vary by vendor.</w:t>
      </w:r>
    </w:p>
    <w:sectPr w:rsidR="00945CC4">
      <w:pgSz w:w="12240" w:h="15840"/>
      <w:pgMar w:top="720" w:right="720" w:bottom="855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76D51"/>
    <w:multiLevelType w:val="hybridMultilevel"/>
    <w:tmpl w:val="E146D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951"/>
    <w:rsid w:val="00353625"/>
    <w:rsid w:val="00945CC4"/>
    <w:rsid w:val="00C8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5DADD7"/>
  <w14:defaultImageDpi w14:val="0"/>
  <w15:docId w15:val="{D190E4CC-2523-4083-A8CD-0089CBA3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87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Lemay, Daniel R.</dc:creator>
  <cp:keywords/>
  <dc:description/>
  <cp:lastModifiedBy>Lemay, Daniel R.</cp:lastModifiedBy>
  <cp:revision>2</cp:revision>
  <dcterms:created xsi:type="dcterms:W3CDTF">2018-04-07T15:11:00Z</dcterms:created>
  <dcterms:modified xsi:type="dcterms:W3CDTF">2018-04-07T15:11:00Z</dcterms:modified>
</cp:coreProperties>
</file>